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7"/>
        <w:rPr>
          <w:rFonts w:ascii="黑体" w:eastAsia="黑体" w:hint="eastAsia"/>
        </w:rPr>
      </w:pPr>
      <w:r>
        <w:rPr>
          <w:rFonts w:ascii="黑体" w:eastAsia="黑体" w:hint="eastAsia"/>
          <w:spacing w:val="-26"/>
        </w:rPr>
        <w:t>附件 </w:t>
      </w:r>
      <w:r>
        <w:rPr>
          <w:rFonts w:ascii="黑体" w:eastAsia="黑体" w:hint="eastAsia"/>
        </w:rPr>
        <w:t>1</w:t>
      </w:r>
    </w:p>
    <w:p>
      <w:pPr>
        <w:pStyle w:val="BodyText"/>
        <w:spacing w:before="3"/>
        <w:ind w:left="0"/>
        <w:rPr>
          <w:rFonts w:ascii="黑体"/>
          <w:sz w:val="43"/>
        </w:rPr>
      </w:pPr>
      <w:r>
        <w:rPr/>
        <w:br w:type="column"/>
      </w:r>
      <w:r>
        <w:rPr>
          <w:rFonts w:ascii="黑体"/>
          <w:sz w:val="43"/>
        </w:rPr>
      </w:r>
    </w:p>
    <w:p>
      <w:pPr>
        <w:pStyle w:val="Heading1"/>
        <w:spacing w:before="1"/>
      </w:pPr>
      <w:r>
        <w:rPr/>
        <w:t>北京市文物局</w:t>
      </w:r>
    </w:p>
    <w:p>
      <w:pPr>
        <w:spacing w:after="0"/>
        <w:sectPr>
          <w:type w:val="continuous"/>
          <w:pgSz w:w="11910" w:h="16840"/>
          <w:pgMar w:top="1500" w:bottom="280" w:left="980" w:right="980"/>
          <w:cols w:num="2" w:equalWidth="0">
            <w:col w:w="1023" w:space="2530"/>
            <w:col w:w="6397"/>
          </w:cols>
        </w:sectPr>
      </w:pPr>
    </w:p>
    <w:p>
      <w:pPr>
        <w:spacing w:line="559" w:lineRule="exact" w:before="0"/>
        <w:ind w:left="352" w:right="0" w:firstLine="0"/>
        <w:jc w:val="left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新冠肺炎疫情期间文物拍卖企业网络拍卖告知书</w:t>
      </w:r>
    </w:p>
    <w:p>
      <w:pPr>
        <w:pStyle w:val="BodyText"/>
        <w:spacing w:before="5"/>
        <w:ind w:left="0"/>
        <w:rPr>
          <w:rFonts w:ascii="黑体"/>
          <w:sz w:val="58"/>
        </w:rPr>
      </w:pPr>
    </w:p>
    <w:p>
      <w:pPr>
        <w:pStyle w:val="BodyText"/>
        <w:spacing w:before="1"/>
        <w:rPr>
          <w:rFonts w:ascii="黑体" w:eastAsia="黑体" w:hint="eastAsia"/>
        </w:rPr>
      </w:pPr>
      <w:r>
        <w:rPr>
          <w:rFonts w:ascii="黑体" w:eastAsia="黑体" w:hint="eastAsia"/>
        </w:rPr>
        <w:t>一、法律依据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350" w:lineRule="auto" w:before="190" w:after="0"/>
        <w:ind w:left="100" w:right="101" w:firstLine="641"/>
        <w:jc w:val="both"/>
        <w:rPr>
          <w:sz w:val="32"/>
        </w:rPr>
      </w:pPr>
      <w:r>
        <w:rPr>
          <w:spacing w:val="-13"/>
          <w:sz w:val="32"/>
        </w:rPr>
        <w:t>《中华人民共和国文物保护法》“第五十六条第二款：拍卖企业</w:t>
      </w:r>
      <w:r>
        <w:rPr>
          <w:spacing w:val="3"/>
          <w:w w:val="95"/>
          <w:sz w:val="32"/>
        </w:rPr>
        <w:t>拍卖的文物，在拍卖前应当经省、自治区、直辖市人民政府文物行政  </w:t>
      </w:r>
      <w:r>
        <w:rPr>
          <w:spacing w:val="-6"/>
          <w:sz w:val="32"/>
        </w:rPr>
        <w:t>部门审核，并报国务院文物行政部门备案。”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40" w:lineRule="auto" w:before="4" w:after="0"/>
        <w:ind w:left="1062" w:right="0" w:hanging="322"/>
        <w:jc w:val="both"/>
        <w:rPr>
          <w:sz w:val="32"/>
        </w:rPr>
      </w:pPr>
      <w:r>
        <w:rPr>
          <w:spacing w:val="-14"/>
          <w:sz w:val="32"/>
        </w:rPr>
        <w:t>《文物拍卖标的审核办法》</w:t>
      </w:r>
      <w:r>
        <w:rPr>
          <w:sz w:val="32"/>
        </w:rPr>
        <w:t>（文物博发〔2016〕4</w:t>
      </w:r>
      <w:r>
        <w:rPr>
          <w:spacing w:val="-41"/>
          <w:sz w:val="32"/>
        </w:rPr>
        <w:t> 号</w:t>
      </w:r>
      <w:r>
        <w:rPr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40" w:lineRule="auto" w:before="190" w:after="0"/>
        <w:ind w:left="1062" w:right="0" w:hanging="322"/>
        <w:jc w:val="both"/>
        <w:rPr>
          <w:sz w:val="32"/>
        </w:rPr>
      </w:pPr>
      <w:r>
        <w:rPr>
          <w:spacing w:val="-17"/>
          <w:sz w:val="32"/>
        </w:rPr>
        <w:t>《文物拍卖管理办法》</w:t>
      </w:r>
      <w:r>
        <w:rPr>
          <w:sz w:val="32"/>
        </w:rPr>
        <w:t>（文物博发〔2016〕20</w:t>
      </w:r>
      <w:r>
        <w:rPr>
          <w:spacing w:val="-41"/>
          <w:sz w:val="32"/>
        </w:rPr>
        <w:t> 号</w:t>
      </w:r>
      <w:r>
        <w:rPr>
          <w:sz w:val="32"/>
        </w:rPr>
        <w:t>）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二、禁止拍卖的文物范围</w:t>
      </w:r>
    </w:p>
    <w:p>
      <w:pPr>
        <w:pStyle w:val="ListParagraph"/>
        <w:numPr>
          <w:ilvl w:val="0"/>
          <w:numId w:val="2"/>
        </w:numPr>
        <w:tabs>
          <w:tab w:pos="1068" w:val="left" w:leader="none"/>
        </w:tabs>
        <w:spacing w:line="350" w:lineRule="auto" w:before="191" w:after="0"/>
        <w:ind w:left="100" w:right="103" w:firstLine="641"/>
        <w:jc w:val="left"/>
        <w:rPr>
          <w:sz w:val="32"/>
        </w:rPr>
      </w:pPr>
      <w:r>
        <w:rPr>
          <w:spacing w:val="4"/>
          <w:w w:val="95"/>
          <w:sz w:val="32"/>
        </w:rPr>
        <w:t>依照法律应当上交国家的出土</w:t>
      </w:r>
      <w:r>
        <w:rPr>
          <w:spacing w:val="7"/>
          <w:w w:val="95"/>
          <w:sz w:val="32"/>
        </w:rPr>
        <w:t>（水</w:t>
      </w:r>
      <w:r>
        <w:rPr>
          <w:spacing w:val="4"/>
          <w:w w:val="95"/>
          <w:sz w:val="32"/>
        </w:rPr>
        <w:t>）</w:t>
      </w:r>
      <w:r>
        <w:rPr>
          <w:spacing w:val="5"/>
          <w:w w:val="95"/>
          <w:sz w:val="32"/>
        </w:rPr>
        <w:t>文物，以出土</w:t>
      </w:r>
      <w:r>
        <w:rPr>
          <w:spacing w:val="4"/>
          <w:w w:val="95"/>
          <w:sz w:val="32"/>
        </w:rPr>
        <w:t>（</w:t>
      </w:r>
      <w:r>
        <w:rPr>
          <w:spacing w:val="7"/>
          <w:w w:val="95"/>
          <w:sz w:val="32"/>
        </w:rPr>
        <w:t>水）</w:t>
      </w:r>
      <w:r>
        <w:rPr>
          <w:spacing w:val="-4"/>
          <w:w w:val="95"/>
          <w:sz w:val="32"/>
        </w:rPr>
        <w:t>文物 </w:t>
      </w:r>
      <w:r>
        <w:rPr>
          <w:sz w:val="32"/>
        </w:rPr>
        <w:t>名义进行宣传的标的；</w:t>
      </w:r>
    </w:p>
    <w:p>
      <w:pPr>
        <w:pStyle w:val="ListParagraph"/>
        <w:numPr>
          <w:ilvl w:val="0"/>
          <w:numId w:val="2"/>
        </w:numPr>
        <w:tabs>
          <w:tab w:pos="1068" w:val="left" w:leader="none"/>
        </w:tabs>
        <w:spacing w:line="350" w:lineRule="auto" w:before="3" w:after="0"/>
        <w:ind w:left="100" w:right="103" w:firstLine="641"/>
        <w:jc w:val="left"/>
        <w:rPr>
          <w:sz w:val="32"/>
        </w:rPr>
      </w:pPr>
      <w:r>
        <w:rPr>
          <w:spacing w:val="3"/>
          <w:w w:val="95"/>
          <w:sz w:val="32"/>
        </w:rPr>
        <w:t>被盗窃、盗掘、走私的文物或者明确属于历史上被非法掠夺的 </w:t>
      </w:r>
      <w:r>
        <w:rPr>
          <w:sz w:val="32"/>
        </w:rPr>
        <w:t>中国文物；</w:t>
      </w:r>
    </w:p>
    <w:p>
      <w:pPr>
        <w:pStyle w:val="ListParagraph"/>
        <w:numPr>
          <w:ilvl w:val="0"/>
          <w:numId w:val="2"/>
        </w:numPr>
        <w:tabs>
          <w:tab w:pos="1068" w:val="left" w:leader="none"/>
        </w:tabs>
        <w:spacing w:line="350" w:lineRule="auto" w:before="2" w:after="0"/>
        <w:ind w:left="100" w:right="103" w:firstLine="641"/>
        <w:jc w:val="both"/>
        <w:rPr>
          <w:sz w:val="32"/>
        </w:rPr>
      </w:pPr>
      <w:r>
        <w:rPr>
          <w:spacing w:val="3"/>
          <w:w w:val="95"/>
          <w:sz w:val="32"/>
        </w:rPr>
        <w:t>公安、海关、工商等执法部门和人民法院、人民检察院依法没 收、追缴的文物，以及银行、冶炼厂、造纸厂及废旧物资回收单位拣  </w:t>
      </w:r>
      <w:r>
        <w:rPr>
          <w:spacing w:val="3"/>
          <w:sz w:val="32"/>
        </w:rPr>
        <w:t>选的文物；</w:t>
      </w:r>
    </w:p>
    <w:p>
      <w:pPr>
        <w:pStyle w:val="ListParagraph"/>
        <w:numPr>
          <w:ilvl w:val="0"/>
          <w:numId w:val="2"/>
        </w:numPr>
        <w:tabs>
          <w:tab w:pos="1068" w:val="left" w:leader="none"/>
        </w:tabs>
        <w:spacing w:line="350" w:lineRule="auto" w:before="5" w:after="0"/>
        <w:ind w:left="100" w:right="103" w:firstLine="641"/>
        <w:jc w:val="left"/>
        <w:rPr>
          <w:sz w:val="32"/>
        </w:rPr>
      </w:pPr>
      <w:r>
        <w:rPr>
          <w:spacing w:val="3"/>
          <w:w w:val="95"/>
          <w:sz w:val="32"/>
        </w:rPr>
        <w:t>国有文物收藏单位及其他国家机关、部队和国有企业、事业单 </w:t>
      </w:r>
      <w:r>
        <w:rPr>
          <w:sz w:val="32"/>
        </w:rPr>
        <w:t>位等收藏、保管的文物，以及非国有博物馆馆藏文物；</w:t>
      </w:r>
    </w:p>
    <w:p>
      <w:pPr>
        <w:pStyle w:val="ListParagraph"/>
        <w:numPr>
          <w:ilvl w:val="0"/>
          <w:numId w:val="2"/>
        </w:numPr>
        <w:tabs>
          <w:tab w:pos="1063" w:val="left" w:leader="none"/>
        </w:tabs>
        <w:spacing w:line="240" w:lineRule="auto" w:before="3" w:after="0"/>
        <w:ind w:left="1062" w:right="0" w:hanging="322"/>
        <w:jc w:val="left"/>
        <w:rPr>
          <w:sz w:val="32"/>
        </w:rPr>
      </w:pPr>
      <w:r>
        <w:rPr>
          <w:sz w:val="32"/>
        </w:rPr>
        <w:t>国有文物商店收存的珍贵文物；</w:t>
      </w:r>
    </w:p>
    <w:p>
      <w:pPr>
        <w:pStyle w:val="ListParagraph"/>
        <w:numPr>
          <w:ilvl w:val="0"/>
          <w:numId w:val="2"/>
        </w:numPr>
        <w:tabs>
          <w:tab w:pos="1063" w:val="left" w:leader="none"/>
        </w:tabs>
        <w:spacing w:line="240" w:lineRule="auto" w:before="190" w:after="0"/>
        <w:ind w:left="1062" w:right="0" w:hanging="322"/>
        <w:jc w:val="left"/>
        <w:rPr>
          <w:sz w:val="32"/>
        </w:rPr>
      </w:pPr>
      <w:r>
        <w:rPr>
          <w:sz w:val="32"/>
        </w:rPr>
        <w:t>国有不可移动文物及其构件；</w:t>
      </w:r>
    </w:p>
    <w:p>
      <w:pPr>
        <w:pStyle w:val="ListParagraph"/>
        <w:numPr>
          <w:ilvl w:val="0"/>
          <w:numId w:val="2"/>
        </w:numPr>
        <w:tabs>
          <w:tab w:pos="1063" w:val="left" w:leader="none"/>
        </w:tabs>
        <w:spacing w:line="240" w:lineRule="auto" w:before="190" w:after="0"/>
        <w:ind w:left="1062" w:right="0" w:hanging="322"/>
        <w:jc w:val="left"/>
        <w:rPr>
          <w:sz w:val="32"/>
        </w:rPr>
      </w:pPr>
      <w:r>
        <w:rPr>
          <w:sz w:val="32"/>
        </w:rPr>
        <w:t>涉嫌损害国家利益或者有可能产生不良社会影响的标的；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1500" w:bottom="280" w:left="980" w:right="980"/>
        </w:sectPr>
      </w:pPr>
    </w:p>
    <w:p>
      <w:pPr>
        <w:pStyle w:val="ListParagraph"/>
        <w:numPr>
          <w:ilvl w:val="0"/>
          <w:numId w:val="2"/>
        </w:numPr>
        <w:tabs>
          <w:tab w:pos="1063" w:val="left" w:leader="none"/>
        </w:tabs>
        <w:spacing w:line="240" w:lineRule="auto" w:before="42" w:after="0"/>
        <w:ind w:left="1062" w:right="0" w:hanging="322"/>
        <w:jc w:val="left"/>
        <w:rPr>
          <w:sz w:val="32"/>
        </w:rPr>
      </w:pPr>
      <w:r>
        <w:rPr>
          <w:sz w:val="32"/>
        </w:rPr>
        <w:t>未经审核同意出售的含有珍稀野生动物成分的制品；</w:t>
      </w:r>
    </w:p>
    <w:p>
      <w:pPr>
        <w:pStyle w:val="ListParagraph"/>
        <w:numPr>
          <w:ilvl w:val="0"/>
          <w:numId w:val="2"/>
        </w:numPr>
        <w:tabs>
          <w:tab w:pos="1063" w:val="left" w:leader="none"/>
        </w:tabs>
        <w:spacing w:line="240" w:lineRule="auto" w:before="190" w:after="0"/>
        <w:ind w:left="1062" w:right="0" w:hanging="322"/>
        <w:jc w:val="left"/>
        <w:rPr>
          <w:sz w:val="32"/>
        </w:rPr>
      </w:pPr>
      <w:r>
        <w:rPr>
          <w:sz w:val="32"/>
        </w:rPr>
        <w:t>其他法律法规规定不得流通的文物。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三、监管方式</w:t>
      </w:r>
    </w:p>
    <w:p>
      <w:pPr>
        <w:pStyle w:val="BodyText"/>
        <w:spacing w:line="350" w:lineRule="auto"/>
        <w:ind w:right="104" w:firstLine="641"/>
      </w:pPr>
      <w:r>
        <w:rPr>
          <w:w w:val="95"/>
        </w:rPr>
        <w:t>文物拍卖会监拍、专家随机抽查审核、社会监督及拍卖会事后备 </w:t>
      </w:r>
      <w:r>
        <w:rPr/>
        <w:t>案等。</w:t>
      </w:r>
    </w:p>
    <w:p>
      <w:pPr>
        <w:pStyle w:val="BodyText"/>
        <w:spacing w:before="2"/>
        <w:rPr>
          <w:rFonts w:ascii="黑体" w:eastAsia="黑体" w:hint="eastAsia"/>
        </w:rPr>
      </w:pPr>
      <w:r>
        <w:rPr>
          <w:rFonts w:ascii="黑体" w:eastAsia="黑体" w:hint="eastAsia"/>
        </w:rPr>
        <w:t>四、未履行或违反承诺采取的措施</w:t>
      </w:r>
    </w:p>
    <w:p>
      <w:pPr>
        <w:pStyle w:val="ListParagraph"/>
        <w:numPr>
          <w:ilvl w:val="0"/>
          <w:numId w:val="3"/>
        </w:numPr>
        <w:tabs>
          <w:tab w:pos="1068" w:val="left" w:leader="none"/>
        </w:tabs>
        <w:spacing w:line="240" w:lineRule="auto" w:before="191" w:after="0"/>
        <w:ind w:left="1067" w:right="0" w:hanging="322"/>
        <w:jc w:val="left"/>
        <w:rPr>
          <w:sz w:val="32"/>
        </w:rPr>
      </w:pPr>
      <w:r>
        <w:rPr>
          <w:sz w:val="32"/>
        </w:rPr>
        <w:t>不再受理该企业的承诺事项。</w:t>
      </w:r>
    </w:p>
    <w:p>
      <w:pPr>
        <w:pStyle w:val="ListParagraph"/>
        <w:numPr>
          <w:ilvl w:val="0"/>
          <w:numId w:val="3"/>
        </w:numPr>
        <w:tabs>
          <w:tab w:pos="1073" w:val="left" w:leader="none"/>
        </w:tabs>
        <w:spacing w:line="350" w:lineRule="auto" w:before="190" w:after="0"/>
        <w:ind w:left="100" w:right="101" w:firstLine="646"/>
        <w:jc w:val="left"/>
        <w:rPr>
          <w:sz w:val="32"/>
        </w:rPr>
      </w:pPr>
      <w:r>
        <w:rPr>
          <w:spacing w:val="3"/>
          <w:w w:val="95"/>
          <w:sz w:val="32"/>
        </w:rPr>
        <w:t>违法违规线索依法移交市市场监督管理局、市商务局、市文化 </w:t>
      </w:r>
      <w:r>
        <w:rPr>
          <w:sz w:val="32"/>
        </w:rPr>
        <w:t>执法总队及行业协会等。</w:t>
      </w:r>
    </w:p>
    <w:p>
      <w:pPr>
        <w:pStyle w:val="ListParagraph"/>
        <w:numPr>
          <w:ilvl w:val="0"/>
          <w:numId w:val="3"/>
        </w:numPr>
        <w:tabs>
          <w:tab w:pos="1068" w:val="left" w:leader="none"/>
        </w:tabs>
        <w:spacing w:line="240" w:lineRule="auto" w:before="3" w:after="0"/>
        <w:ind w:left="1067" w:right="0" w:hanging="322"/>
        <w:jc w:val="left"/>
        <w:rPr>
          <w:sz w:val="32"/>
        </w:rPr>
      </w:pPr>
      <w:r>
        <w:rPr>
          <w:sz w:val="32"/>
        </w:rPr>
        <w:t>情节严重的吊销文物拍卖许可证。</w:t>
      </w:r>
    </w:p>
    <w:p>
      <w:pPr>
        <w:pStyle w:val="BodyText"/>
        <w:ind w:left="741"/>
      </w:pPr>
      <w:r>
        <w:rPr/>
        <w:t>对处罚措施如有异议，可向本机关监察部门(64001627)投诉。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五、申请人履行的职责</w:t>
      </w:r>
    </w:p>
    <w:p>
      <w:pPr>
        <w:pStyle w:val="BodyText"/>
        <w:ind w:left="746"/>
      </w:pPr>
      <w:r>
        <w:rPr>
          <w:spacing w:val="3"/>
          <w:w w:val="95"/>
        </w:rPr>
        <w:t>发挥文物拍卖企业专业人员作用，确保拍卖会中的文物标的符合</w:t>
      </w:r>
    </w:p>
    <w:p>
      <w:pPr>
        <w:pStyle w:val="BodyText"/>
        <w:spacing w:line="350" w:lineRule="auto"/>
        <w:ind w:right="102"/>
        <w:jc w:val="both"/>
      </w:pPr>
      <w:r>
        <w:rPr>
          <w:spacing w:val="-15"/>
          <w:w w:val="95"/>
        </w:rPr>
        <w:t>《中华人民共和国文物保护法》《文物拍卖管理办法》《文物拍卖标的  </w:t>
      </w:r>
      <w:r>
        <w:rPr>
          <w:spacing w:val="3"/>
          <w:w w:val="95"/>
        </w:rPr>
        <w:t>审核办法》及相关法规要求。积极配合市文物局的监督与管理工作，  </w:t>
      </w:r>
      <w:r>
        <w:rPr>
          <w:spacing w:val="-8"/>
          <w:w w:val="95"/>
        </w:rPr>
        <w:t>一旦发生涉嫌违法违规问题时，应积极配合相关部门依法调查、处理。</w:t>
      </w:r>
    </w:p>
    <w:sectPr>
      <w:pgSz w:w="11910" w:h="16840"/>
      <w:pgMar w:top="154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67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48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37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2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614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0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391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80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69" w:hanging="32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327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84" w:hanging="32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69" w:hanging="3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53" w:hanging="3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38" w:hanging="3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23" w:hanging="3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07" w:hanging="3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92" w:hanging="3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977" w:hanging="327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322"/>
        <w:jc w:val="left"/>
      </w:pPr>
      <w:rPr>
        <w:rFonts w:hint="default" w:ascii="仿宋" w:hAnsi="仿宋" w:eastAsia="仿宋" w:cs="仿宋"/>
        <w:spacing w:val="-4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84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69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53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38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2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07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92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977" w:hanging="322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90"/>
      <w:ind w:left="100"/>
    </w:pPr>
    <w:rPr>
      <w:rFonts w:ascii="仿宋" w:hAnsi="仿宋" w:eastAsia="仿宋" w:cs="仿宋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90"/>
      <w:ind w:left="1062" w:hanging="322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wengjuntian</dc:creator>
  <dcterms:created xsi:type="dcterms:W3CDTF">2020-03-05T05:42:46Z</dcterms:created>
  <dcterms:modified xsi:type="dcterms:W3CDTF">2020-03-05T05:42:46Z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2020-03-05T00:00:00Z</vt:filetime>
  </property>
</Properties>
</file>